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华文行楷" w:eastAsia="华文行楷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光</w:t>
      </w:r>
      <w:r>
        <w:rPr>
          <w:rFonts w:hint="eastAsia" w:ascii="宋体" w:hAnsi="宋体"/>
          <w:b/>
          <w:color w:val="000000"/>
          <w:sz w:val="32"/>
          <w:szCs w:val="32"/>
        </w:rPr>
        <w:t>肩星天牛诱芯使用说明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品名：光肩星天牛诱芯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配套诱捕器：三面挡板形诱捕器</w:t>
      </w:r>
    </w:p>
    <w:p>
      <w:pPr>
        <w:spacing w:line="360" w:lineRule="auto"/>
        <w:ind w:left="720" w:hanging="720" w:hangingChars="3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原理：</w:t>
      </w:r>
    </w:p>
    <w:p>
      <w:pPr>
        <w:spacing w:line="360" w:lineRule="auto"/>
        <w:ind w:left="2" w:leftChars="1" w:firstLine="48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性信息素是由昆虫性腺分泌并释放出来的一种活性物质，可以引诱同种异性昆虫前来交配。根据这一原理，利用高科技技术人工合成信息素，进行诱捕昆虫。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适用范围：适用于光肩星天牛</w:t>
      </w:r>
    </w:p>
    <w:p>
      <w:pPr>
        <w:spacing w:line="360" w:lineRule="auto"/>
        <w:ind w:left="1200" w:hanging="1200" w:hangingChars="5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使用说明：</w:t>
      </w:r>
    </w:p>
    <w:p>
      <w:pPr>
        <w:spacing w:line="360" w:lineRule="auto"/>
        <w:ind w:left="1" w:firstLine="48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利用该信息素诱捕昆虫的装置为橡胶诱芯和诱捕器两部分组成。诱芯是以含有性信息素的橡胶头为载体，诱捕器为三面挡板形诱捕器。具体诱捕器安装方法详见挡板式诱捕器使用说明。</w:t>
      </w:r>
    </w:p>
    <w:p>
      <w:pPr>
        <w:spacing w:line="360" w:lineRule="auto"/>
        <w:ind w:left="1200" w:hanging="1200" w:hangingChars="5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使用量：</w:t>
      </w:r>
    </w:p>
    <w:p>
      <w:pPr>
        <w:spacing w:line="360" w:lineRule="auto"/>
        <w:ind w:left="1" w:firstLine="48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用以监测每公顷悬挂1-3套诱捕器，用以防治每亩悬挂3套诱捕器。每日或定期检查诱捕成虫数量，并清除天牛，根据情况更换胶板和诱芯。</w:t>
      </w:r>
    </w:p>
    <w:p>
      <w:pPr>
        <w:spacing w:line="360" w:lineRule="auto"/>
        <w:ind w:left="960" w:hanging="960" w:hangingChars="4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持效期：根据诱芯的含量，有效期为一个月。实际应用过程中，若及时更换一次效果会更好。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保存：性信息素诱芯在使用前应该避光，放置在冰箱内低度保存。</w:t>
      </w:r>
    </w:p>
    <w:p>
      <w:pPr>
        <w:spacing w:line="360" w:lineRule="auto"/>
        <w:ind w:left="1440" w:hanging="1440" w:hangingChars="6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注意事项：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1.性信息素诱芯通过诱捕，可降低下一代虫口密度，因此在使用过程中最好在虫害发生期不间断使用，这样可大幅度降低虫口密度。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2. 使用信息素诱芯最好大面积连片使用，以防治虫情扩散。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firstLine="1680" w:firstLineChars="80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200" w:firstLineChars="800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144E9"/>
    <w:rsid w:val="2F29166A"/>
    <w:rsid w:val="342144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2016-08-04T08:09:00Z</dcterms:created>
  <dc:creator>格瑞碧源</dc:creator>
  <cp:lastModifiedBy>慧霞</cp:lastModifiedBy>
  <dcterms:modified xsi:type="dcterms:W3CDTF">2016-08-18T02:51:40Z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